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97765" cy="479776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5885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4797765" cy="4797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77.78pt;height:377.78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Уважаемые родители( законные представители)! Информация для Вас.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"Санитарный щит России" — федеральный проект, направленный на развитие проактивной и устойчивой системы защиты населения от санитарно-эпидемиологических угроз.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Задача проекта – создать эффективный барьер для эпидемий на трех рубежах: внутри страны, в ближнем и дальнем зарубежье.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"Санитарный щит" предполагает проактивную модель защиты здоровья человека от инфекционных угроз. Проактивная, то есть профилактическая, – когда мы не реагируем на угрозы, а прогнозируем и предупреждаем их, а также готовимся к реагированию, создавая заделы.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В рамках федерального проекта "Санитарный щит страны - безопасность для здоровья (предупреждение, выявление, реагирование)" Федеральной службой по надзору в сфере защиты прав потребителей и благополучия человека создан коммуникационный подпроект "Санпросве</w:t>
      </w:r>
      <w:r>
        <w:rPr>
          <w:rFonts w:ascii="Arial" w:hAnsi="Arial" w:eastAsia="Arial" w:cs="Arial"/>
          <w:color w:val="000000"/>
          <w:sz w:val="24"/>
        </w:rPr>
        <w:t xml:space="preserve">т". Это информационно-просветительская работа, направленная на распространение современных санитарно-гигиенических знаний и навыков, имеющая свой конечный целью формирование новой санитарной культуры населения.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Федеральной службой по надзору в сфере защиты прав потребителей и благополучия человека в рамках подпроекта разработаны информационные материалы о правилах личной гигиены, профилактике заболеваний, соблюдении простых правил гигиены, правильном питании и зд</w:t>
      </w:r>
      <w:r>
        <w:rPr>
          <w:rFonts w:ascii="Arial" w:hAnsi="Arial" w:eastAsia="Arial" w:cs="Arial"/>
          <w:color w:val="000000"/>
          <w:sz w:val="24"/>
        </w:rPr>
        <w:t xml:space="preserve">оровом образе жизни.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Видеоматериалы доступны по ссылке: </w:t>
      </w:r>
      <w:hyperlink r:id="rId9" w:tooltip="https://disk.yandex.ru/d/MxoQEkAt07Jufg" w:history="1">
        <w:r>
          <w:rPr>
            <w:rStyle w:val="868"/>
            <w:rFonts w:ascii="Arial" w:hAnsi="Arial" w:eastAsia="Arial" w:cs="Arial"/>
            <w:color w:val="306afd"/>
            <w:sz w:val="24"/>
            <w:u w:val="none"/>
          </w:rPr>
          <w:t xml:space="preserve">https://disk.yandex.ru/d/MxoQEkAt07Jufg</w:t>
        </w:r>
      </w:hyperlink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Плакаты, постеры и карточки доступны по ссылке: </w:t>
      </w:r>
      <w:hyperlink r:id="rId10" w:tooltip="https://disk.yandex.ru/d/qov2BX2XOnYVIA" w:history="1">
        <w:r>
          <w:rPr>
            <w:rStyle w:val="868"/>
            <w:rFonts w:ascii="Arial" w:hAnsi="Arial" w:eastAsia="Arial" w:cs="Arial"/>
            <w:color w:val="306afd"/>
            <w:sz w:val="24"/>
            <w:u w:val="none"/>
          </w:rPr>
          <w:t xml:space="preserve">https://disk.yandex.ru/d/qov2BX2XOnYVIA</w:t>
        </w:r>
      </w:hyperlink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10" w:before="90"/>
        <w:ind w:right="0" w:firstLine="0" w:left="0"/>
        <w:rPr/>
      </w:pPr>
      <w:r/>
      <w:hyperlink r:id="rId11" w:tooltip="https://gkb11.ru/materials/view/sanitarnyj-shit-bezopasnost-dlya-zdorovya-11585" w:history="1">
        <w:r>
          <w:rPr>
            <w:rStyle w:val="868"/>
            <w:rFonts w:ascii="Arial" w:hAnsi="Arial" w:eastAsia="Arial" w:cs="Arial"/>
            <w:color w:val="306afd"/>
            <w:sz w:val="24"/>
            <w:u w:val="none"/>
          </w:rPr>
          <w:t xml:space="preserve">"Санитарный щит-безопасность для здоровья</w:t>
        </w:r>
      </w:hyperlink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s://disk.yandex.ru/d/MxoQEkAt07Jufg" TargetMode="External"/><Relationship Id="rId10" Type="http://schemas.openxmlformats.org/officeDocument/2006/relationships/hyperlink" Target="https://disk.yandex.ru/d/qov2BX2XOnYVIA" TargetMode="External"/><Relationship Id="rId11" Type="http://schemas.openxmlformats.org/officeDocument/2006/relationships/hyperlink" Target="https://gkb11.ru/materials/view/sanitarnyj-shit-bezopasnost-dlya-zdorovya-1158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2025-02-19T08:57:47Z</dcterms:modified>
</cp:coreProperties>
</file>